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224154</wp:posOffset>
                </wp:positionV>
                <wp:extent cx="3314700" cy="15716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71625"/>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Kas jāņem vērā</w:t>
                            </w:r>
                            <w:r>
                              <w:rPr>
                                <w:rFonts w:ascii="Arial" w:hAnsi="Arial"/>
                                <w:b/>
                              </w:rPr>
                              <w:br/>
                            </w:r>
                            <w:r>
                              <w:rPr>
                                <w:rFonts w:ascii="Arial" w:hAnsi="Arial"/>
                                <w:b/>
                                <w:sz w:val="28"/>
                                <w:szCs w:val="28"/>
                                <w:u w:val="single"/>
                              </w:rPr>
                              <w:t>PIRMS</w:t>
                            </w:r>
                            <w:r>
                              <w:rPr>
                                <w:rFonts w:ascii="Arial" w:hAnsi="Arial"/>
                                <w:b/>
                                <w:sz w:val="28"/>
                                <w:szCs w:val="28"/>
                              </w:rPr>
                              <w:br/>
                            </w:r>
                            <w:r>
                              <w:rPr>
                                <w:rFonts w:ascii="Arial" w:hAnsi="Arial"/>
                                <w:b/>
                              </w:rPr>
                              <w:t>darbinieku pieņemšanas darbā no ārvalstīm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">
                <v:textbox>
                  <w:txbxContent>
                    <w:p w:rsidR="002000A7" w:rsidP="004D46DF" w:rsidRDefault="002000A7">
                      <w:pPr>
                        <w:spacing w:before="160" w:after="160" w:line="480" w:lineRule="auto"/>
                        <w:jc w:val="center"/>
                      </w:pPr>
                      <w:r>
                        <w:rPr>
                          <w:rFonts w:ascii="Arial" w:hAnsi="Arial"/>
                          <w:b/>
                        </w:rPr>
                        <w:t>Kas jāņem vērā</w:t>
                      </w:r>
                      <w:r>
                        <w:rPr>
                          <w:rFonts w:ascii="Arial" w:hAnsi="Arial"/>
                          <w:b/>
                        </w:rPr>
                        <w:br/>
                      </w:r>
                      <w:r>
                        <w:rPr>
                          <w:rFonts w:ascii="Arial" w:hAnsi="Arial"/>
                          <w:b/>
                          <w:sz w:val="28"/>
                          <w:szCs w:val="28"/>
                          <w:u w:val="single"/>
                        </w:rPr>
                        <w:t>PIRMS</w:t>
                      </w:r>
                      <w:r>
                        <w:rPr>
                          <w:rFonts w:ascii="Arial" w:hAnsi="Arial"/>
                          <w:b/>
                          <w:sz w:val="28"/>
                          <w:szCs w:val="28"/>
                        </w:rPr>
                        <w:br/>
                      </w:r>
                      <w:r>
                        <w:rPr>
                          <w:rFonts w:ascii="Arial" w:hAnsi="Arial"/>
                          <w:b/>
                        </w:rPr>
                        <w:t>darbinieku pieņemšanas darbā no ārvalstīm</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1"/>
        <w:gridCol w:w="1830"/>
        <w:gridCol w:w="6574"/>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Aspekti, kam jāpievērš uzmanība</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Darbības</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Informācijas noskaidrošana un plānošana</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Vietējie nodarbinātības dienesti</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Pirms kandidātu meklēšanas no ārvalstīm mēģiniet sazināties ar </w:t>
            </w:r>
            <w:r>
              <w:rPr>
                <w:rFonts w:ascii="Arial" w:hAnsi="Arial"/>
                <w:i/>
                <w:iCs/>
                <w:sz w:val="22"/>
                <w:szCs w:val="22"/>
              </w:rPr>
              <w:t>vietējo valsts nodarbinātības dienestu</w:t>
            </w:r>
            <w:r>
              <w:rPr>
                <w:rFonts w:ascii="Arial" w:hAnsi="Arial"/>
                <w:sz w:val="22"/>
                <w:szCs w:val="22"/>
              </w:rPr>
              <w:t>, lai pārrunātu jūsu darbā pieņemšanas vajadzības. Tas var palīdzēt atrast piemērotus kandidātus tuvāk jūsu atrašanās vietai.</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Sagatavojiet kandidāta profilu</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Kādas ir konkrētās prasmes, kompetences un kvalifikācija, kas vajadzīgas, lai pildītu amata pienākumus?</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Ja nolemjat pieņemt darbā darbinieku no ārvalstīm,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Izstrādājiet plānu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Aprakstiet mērķus, ieguvumus, riskus un izmaksas, kas saistītas ar darbinieku pieņemšanu darbā no ārvalstīm. Rūpīgi saplānojiet termiņus, jo starptautisku kandidātu meklēšanai var būt vajadzīgs ilgāks laiks.</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Sazinieties ar kompetentajām iestādēm</w:t>
            </w:r>
          </w:p>
          <w:p w:rsidRPr="00E951B7" w:rsidR="00C3223F" w:rsidP="008768AF" w:rsidRDefault="00C3223F">
            <w:pPr>
              <w:rPr>
                <w:rFonts w:ascii="Arial" w:hAnsi="Arial" w:cs="Arial"/>
                <w:sz w:val="20"/>
                <w:szCs w:val="20"/>
              </w:rPr>
            </w:pPr>
            <w:r>
              <w:rPr>
                <w:rFonts w:ascii="Arial" w:hAnsi="Arial"/>
                <w:i/>
                <w:sz w:val="20"/>
                <w:szCs w:val="20"/>
              </w:rPr>
              <w:t>(ārvalstnieku reģistra padomi vai līdzvērtīgiem dienestiem jūsu valstī)</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Noskaidrojiet, vai jums jāveic kādi papildu pasākumi, lai pieņemtu darbā ārvalstnieku. Vai viņiem ir jāreģistrējas atsevišķi vai jāmaksā kāda maksa?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Juridiskās prasības un norīkotie darbinieki</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Reģistrācijas procedūras un darba atļaujas</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Vai vēlaties pieņemt darbā darbiniekus no citām Eiropas Ekonomikas zonas (EEZ) valstīm, un jums ir vajadzīgs vairāk informācijas par reģistrācijas procedūrām un darba atļaujām? Ja tā ir, apmeklējiet sadaļu “</w:t>
            </w:r>
            <w:hyperlink w:history="1" r:id="rId7">
              <w:r>
                <w:rPr>
                  <w:rStyle w:val="Hyperlink"/>
                  <w:rFonts w:ascii="Arial" w:hAnsi="Arial"/>
                  <w:sz w:val="22"/>
                  <w:szCs w:val="22"/>
                </w:rPr>
                <w:t>Dzīvošana un darbs</w:t>
              </w:r>
            </w:hyperlink>
            <w:r>
              <w:rPr>
                <w:rFonts w:ascii="Arial" w:hAnsi="Arial"/>
                <w:sz w:val="22"/>
                <w:szCs w:val="22"/>
              </w:rPr>
              <w:t>”, lai uzzinātu par reģistrācijas procedūrām un informāciju par uzturēšanās atļaujām attiecībā uz katru valsti.</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Pārejas noteikumi, kas reglamentē darba ņēmēju brīvu pārvietošanos</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 xml:space="preserve">Lai iegūtu informāciju par pārejas noteikumiem, kas reglamentē darba ņēmēju brīvu pārvietošanos no jaunajām dalībvalstīm, uz tām un starp tām, apmeklējiet </w:t>
            </w:r>
            <w:proofErr w:type="spellStart"/>
            <w:r>
              <w:rPr>
                <w:rFonts w:ascii="Arial" w:hAnsi="Arial"/>
                <w:i/>
                <w:iCs/>
                <w:sz w:val="22"/>
                <w:szCs w:val="22"/>
              </w:rPr>
              <w:t>Europa</w:t>
            </w:r>
            <w:proofErr w:type="spellEnd"/>
            <w:r>
              <w:rPr>
                <w:rFonts w:ascii="Arial" w:hAnsi="Arial"/>
                <w:sz w:val="22"/>
                <w:szCs w:val="22"/>
              </w:rPr>
              <w:t xml:space="preserve"> portāla sadaļu “</w:t>
            </w:r>
            <w:hyperlink w:history="1" r:id="rId8">
              <w:r>
                <w:rPr>
                  <w:rStyle w:val="Hyperlink"/>
                  <w:rFonts w:ascii="Arial" w:hAnsi="Arial"/>
                  <w:sz w:val="22"/>
                  <w:szCs w:val="22"/>
                </w:rPr>
                <w:t>Darba ņēmēju brīva pārvietošanās</w:t>
              </w:r>
            </w:hyperlink>
            <w:r>
              <w:rPr>
                <w:rFonts w:ascii="Arial" w:hAnsi="Arial"/>
                <w:sz w:val="22"/>
                <w:szCs w:val="22"/>
              </w:rPr>
              <w:t xml:space="preserve">” </w:t>
            </w:r>
            <w:r>
              <w:rPr>
                <w:rFonts w:ascii="Arial" w:hAnsi="Arial"/>
                <w:sz w:val="18"/>
                <w:szCs w:val="18"/>
              </w:rPr>
              <w:t>(https://ec.europa.eu/social/main.jsp?catId=849&amp;langId=lv).</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Norīkotie darba ņēmēji</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Norīkots darba ņēmējs ir persona, kas pavada ierobežotu laiku, strādājot ārpus dalībvalsts, kurā viņa parasti strādā. Ja jūsu organizācijai ir jānorīko darba ņēmēji uz citu dalībvalsti, jums jāiepazīstas ar saistītajiem noteikumiem un procedūrām.</w:t>
            </w:r>
          </w:p>
          <w:p w:rsidRPr="00E951B7" w:rsidR="001E48BB" w:rsidP="008768AF" w:rsidRDefault="00051FD4">
            <w:pPr>
              <w:rPr>
                <w:rFonts w:ascii="Arial" w:hAnsi="Arial" w:cs="Arial"/>
                <w:sz w:val="22"/>
                <w:szCs w:val="22"/>
              </w:rPr>
            </w:pPr>
            <w:r>
              <w:rPr>
                <w:rFonts w:ascii="Arial" w:hAnsi="Arial"/>
                <w:sz w:val="22"/>
                <w:szCs w:val="22"/>
              </w:rPr>
              <w:t xml:space="preserve">Informāciju var atrast </w:t>
            </w:r>
            <w:proofErr w:type="spellStart"/>
            <w:r>
              <w:rPr>
                <w:rFonts w:ascii="Arial" w:hAnsi="Arial"/>
                <w:i/>
                <w:iCs/>
                <w:sz w:val="22"/>
                <w:szCs w:val="22"/>
              </w:rPr>
              <w:t>Europa</w:t>
            </w:r>
            <w:proofErr w:type="spellEnd"/>
            <w:r>
              <w:rPr>
                <w:rFonts w:ascii="Arial" w:hAnsi="Arial"/>
                <w:sz w:val="22"/>
                <w:szCs w:val="22"/>
              </w:rPr>
              <w:t xml:space="preserve"> portāla sadaļā “</w:t>
            </w:r>
            <w:hyperlink w:history="1" r:id="rId9">
              <w:r>
                <w:rPr>
                  <w:rStyle w:val="Hyperlink"/>
                  <w:rFonts w:ascii="Arial" w:hAnsi="Arial"/>
                  <w:sz w:val="22"/>
                  <w:szCs w:val="22"/>
                </w:rPr>
                <w:t>Pārrobežu darba ņēmēji</w:t>
              </w:r>
            </w:hyperlink>
            <w:r>
              <w:rPr>
                <w:rFonts w:ascii="Arial" w:hAnsi="Arial"/>
                <w:sz w:val="22"/>
                <w:szCs w:val="22"/>
              </w:rPr>
              <w:t xml:space="preserve">” </w:t>
            </w:r>
            <w:r>
              <w:rPr>
                <w:rFonts w:ascii="Arial" w:hAnsi="Arial"/>
                <w:sz w:val="18"/>
                <w:szCs w:val="18"/>
              </w:rPr>
              <w:t>(https://ec.europa.eu/social/main.jsp?catId=471&amp;langId=lv).</w:t>
            </w:r>
            <w:r>
              <w:rPr>
                <w:rFonts w:ascii="Arial" w:hAnsi="Arial"/>
                <w:sz w:val="22"/>
                <w:szCs w:val="22"/>
              </w:rPr>
              <w:t xml:space="preserve"> Sk. arī valsts informācijas un kontaktu tīmekļa vietni.</w:t>
            </w:r>
          </w:p>
          <w:p w:rsidRPr="003C6DAE" w:rsidR="00694FF6" w:rsidP="00584FF5" w:rsidRDefault="001E48BB">
            <w:r>
              <w:rPr>
                <w:rFonts w:ascii="Arial" w:hAnsi="Arial"/>
                <w:sz w:val="22"/>
                <w:szCs w:val="22"/>
              </w:rPr>
              <w:t xml:space="preserve">Jūs varat arī izskatīt un lejupielādēt </w:t>
            </w:r>
            <w:r>
              <w:rPr>
                <w:rFonts w:ascii="Arial" w:hAnsi="Arial"/>
                <w:i/>
                <w:sz w:val="22"/>
                <w:szCs w:val="22"/>
              </w:rPr>
              <w:t>“Praktisko informatīvo materiālu par darba ņēmēju norīkošanu Eiropas Savienības un Eiropas Ekonomikas zonas dalībvalstīs un Šveicē”</w:t>
            </w:r>
            <w:r>
              <w:rPr>
                <w:rFonts w:ascii="Arial" w:hAnsi="Arial"/>
                <w:sz w:val="22"/>
                <w:szCs w:val="22"/>
              </w:rPr>
              <w:t xml:space="preserve"> </w:t>
            </w:r>
            <w:r>
              <w:rPr>
                <w:rFonts w:ascii="Arial" w:hAnsi="Arial"/>
                <w:sz w:val="18"/>
                <w:szCs w:val="18"/>
              </w:rPr>
              <w:t xml:space="preserve">(http://ec.europa.eu/social/BlobServlet?docId=11366&amp;langId=lv) </w:t>
            </w:r>
            <w:r>
              <w:rPr>
                <w:rFonts w:ascii="Arial" w:hAnsi="Arial"/>
                <w:sz w:val="22"/>
                <w:szCs w:val="22"/>
              </w:rPr>
              <w:t>vai apmeklēt</w:t>
            </w:r>
            <w:r w:rsidR="00DA13BD">
              <w:rPr>
                <w:rFonts w:ascii="Arial" w:hAnsi="Arial"/>
                <w:sz w:val="22"/>
                <w:szCs w:val="22"/>
              </w:rPr>
              <w:t xml:space="preserve"> </w:t>
            </w:r>
            <w:hyperlink w:history="1" r:id="rId10">
              <w:r>
                <w:rPr>
                  <w:rStyle w:val="Hyperlink"/>
                  <w:rFonts w:ascii="Arial" w:hAnsi="Arial"/>
                  <w:i/>
                  <w:iCs/>
                  <w:sz w:val="22"/>
                  <w:szCs w:val="22"/>
                </w:rPr>
                <w:t>Eurofound</w:t>
              </w:r>
              <w:r>
                <w:rPr>
                  <w:rStyle w:val="Hyperlink"/>
                  <w:rFonts w:ascii="Arial" w:hAnsi="Arial"/>
                  <w:sz w:val="22"/>
                  <w:szCs w:val="22"/>
                </w:rPr>
                <w:t xml:space="preserve"> tīmekļa vietni</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Praktiski pasākumi</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Apmešanās vieta / mājoklis</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Ņemiet vērā praktiskos pasākumus, kas būs jāveic jaunam darba ņēmējam no ārvalstīm, lai atrastu apmešanās vietu vai mājokli. Vai tas ir pieejams vietējā apkaimē? Kā notiek tā meklēšana, un cik tas izmaksā? Vai jūs varat sniegt padomu vai atbalstu jaunajam darbiniekam?</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Valodas, akadēmiskie un kultūras faktori</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Valodas barjeras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Padomājiet par valodas zināšanu līmeni, kāds vajadzīgs jūsu kandidātiem. Ja viņi nerunā attiecīgajā valodā tekoši, bet joprojām ir piemēroti darbam, jums rūpīgi jāapsver, kā jūs ar viņiem sazināsieties. Īpaši sarežģītas kandidātam var būt telefonintervijas.</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Valstu atšķirības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Valstu nodarbinātības tiesību akti atšķiras, un dažās valstīs jums var būt grūtāk atrast darbiniekus nekā citās. Piemēram, jums, iespējams, būs jāreģistrējas, lai to izdarītu, ja pārstāvat darbā pieņemšanas aģentūru. Pirms sākat pieņemšanu darbā, noskaidrojiet, vai pastāv kādi administratīvi šķēršļi.</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Kultūras atšķirības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Darbā pieņemšanas prakse dažādās valstīs atšķiras, tāpat kā atšķiras formalitātes starp darba devējiem un pieteikumu iesniedzējiem. Ja pieteikuma iesniedzēja uzvedība ir neierasta, tā varētu būt tikai kultūras atšķirība. Neļaujiet tam ietekmēt savu spriedumu — tā vietā turpiniet koncentrēties uz pieteikuma iesniedzēja prasmēm un spējām.</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Kvalifikācija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 xml:space="preserve">Reglamentēto profesiju kandidātiem būs jāreģistrējas attiecīgajā iestādē, lai nodrošinātu kvalifikācijas atzīšanu. </w:t>
            </w:r>
            <w:r>
              <w:rPr>
                <w:rFonts w:ascii="Arial" w:hAnsi="Arial"/>
                <w:i/>
                <w:iCs/>
                <w:sz w:val="22"/>
                <w:szCs w:val="22"/>
              </w:rPr>
              <w:t>ENIC-NARIC</w:t>
            </w:r>
            <w:r>
              <w:rPr>
                <w:rFonts w:ascii="Arial" w:hAnsi="Arial"/>
                <w:sz w:val="22"/>
                <w:szCs w:val="22"/>
              </w:rPr>
              <w:t xml:space="preserve"> tīkli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ir vārti uz akadēmisko vai profesionālo kvalifikāciju atzīšanu.</w:t>
            </w:r>
          </w:p>
        </w:tc>
      </w:tr>
      <w:tr w:rsidR="00E04622" w:rsidTr="00A3467B">
        <w:trPr>
          <w:cantSplit/>
          <w:trHeight w:val="567"/>
        </w:trPr>
        <w:tc>
          <w:tcPr>
            <w:tcW w:w="417" w:type="pct"/>
            <w:vMerge w:val="restart"/>
            <w:shd w:val="clear" w:color="auto" w:fill="auto"/>
            <w:textDirection w:val="btLr"/>
            <w:vAlign w:val="center"/>
          </w:tcPr>
          <w:p w:rsidRPr="00E951B7" w:rsidR="004A2234" w:rsidP="00DA13BD" w:rsidRDefault="004A2234">
            <w:pPr>
              <w:keepNext/>
              <w:ind w:left="113" w:right="113"/>
              <w:rPr>
                <w:rFonts w:ascii="Arial" w:hAnsi="Arial" w:cs="Arial"/>
                <w:b/>
                <w:color w:val="000000"/>
                <w:sz w:val="20"/>
                <w:szCs w:val="20"/>
              </w:rPr>
            </w:pPr>
            <w:bookmarkStart w:name="_GoBack" w:id="0"/>
            <w:r>
              <w:rPr>
                <w:rFonts w:ascii="Arial" w:hAnsi="Arial"/>
                <w:b/>
                <w:i/>
                <w:iCs/>
                <w:color w:val="000000"/>
                <w:sz w:val="20"/>
                <w:szCs w:val="20"/>
              </w:rPr>
              <w:lastRenderedPageBreak/>
              <w:t>EURES</w:t>
            </w:r>
            <w:r>
              <w:rPr>
                <w:rFonts w:ascii="Arial" w:hAnsi="Arial"/>
                <w:b/>
                <w:color w:val="000000"/>
                <w:sz w:val="20"/>
                <w:szCs w:val="20"/>
              </w:rPr>
              <w:t xml:space="preserve"> jums palīdzēs!</w:t>
            </w:r>
          </w:p>
        </w:tc>
        <w:tc>
          <w:tcPr>
            <w:tcW w:w="4583" w:type="pct"/>
            <w:gridSpan w:val="2"/>
            <w:tcBorders>
              <w:bottom w:val="nil"/>
            </w:tcBorders>
            <w:shd w:val="clear" w:color="auto" w:fill="auto"/>
            <w:vAlign w:val="center"/>
          </w:tcPr>
          <w:p w:rsidRPr="00E951B7" w:rsidR="004A2234" w:rsidP="00DA13BD" w:rsidRDefault="004A2234">
            <w:pPr>
              <w:keepNext/>
              <w:spacing w:before="120" w:after="120"/>
              <w:ind w:left="1814"/>
              <w:rPr>
                <w:rFonts w:ascii="Arial" w:hAnsi="Arial" w:cs="Arial"/>
                <w:sz w:val="22"/>
                <w:szCs w:val="22"/>
              </w:rPr>
            </w:pPr>
            <w:r>
              <w:rPr>
                <w:rFonts w:ascii="Arial" w:hAnsi="Arial"/>
                <w:i/>
                <w:color w:val="000000"/>
                <w:sz w:val="22"/>
                <w:szCs w:val="22"/>
              </w:rPr>
              <w:t>Pēc tam, kad ir apsvērts iepriekš minētais,</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 xml:space="preserve">atrodiet savu vietējo </w:t>
            </w:r>
            <w:r>
              <w:rPr>
                <w:rFonts w:ascii="Arial" w:hAnsi="Arial"/>
                <w:bCs w:val="0"/>
                <w:i/>
                <w:iCs/>
                <w:color w:val="000000"/>
                <w:sz w:val="22"/>
                <w:szCs w:val="22"/>
              </w:rPr>
              <w:t>EURES</w:t>
            </w:r>
            <w:r>
              <w:rPr>
                <w:rFonts w:ascii="Arial" w:hAnsi="Arial"/>
                <w:bCs w:val="0"/>
                <w:color w:val="000000"/>
                <w:sz w:val="22"/>
                <w:szCs w:val="22"/>
              </w:rPr>
              <w:t xml:space="preserve"> padomdevēju</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skatīt saiti</w:t>
            </w:r>
            <w:r>
              <w:rPr>
                <w:rFonts w:ascii="Arial" w:hAnsi="Arial"/>
                <w:i/>
                <w:color w:val="000000"/>
                <w:sz w:val="20"/>
                <w:szCs w:val="20"/>
              </w:rPr>
              <w:t xml:space="preserve"> “Sazināties ar </w:t>
            </w:r>
            <w:r>
              <w:rPr>
                <w:rFonts w:ascii="Arial" w:hAnsi="Arial"/>
                <w:i/>
                <w:iCs/>
                <w:color w:val="000000"/>
                <w:sz w:val="20"/>
                <w:szCs w:val="20"/>
              </w:rPr>
              <w:t>EURES</w:t>
            </w:r>
            <w:r>
              <w:rPr>
                <w:rFonts w:ascii="Arial" w:hAnsi="Arial"/>
                <w:i/>
                <w:color w:val="000000"/>
                <w:sz w:val="20"/>
                <w:szCs w:val="20"/>
              </w:rPr>
              <w:t xml:space="preserve"> padomdevēju”</w:t>
            </w:r>
            <w:r>
              <w:rPr>
                <w:rFonts w:ascii="Arial" w:hAnsi="Arial"/>
                <w:color w:val="000000"/>
                <w:sz w:val="20"/>
                <w:szCs w:val="20"/>
              </w:rPr>
              <w:t xml:space="preserve"> </w:t>
            </w:r>
            <w:r>
              <w:rPr>
                <w:rFonts w:ascii="Arial" w:hAnsi="Arial"/>
                <w:i/>
                <w:iCs/>
                <w:color w:val="000000"/>
                <w:sz w:val="20"/>
                <w:szCs w:val="20"/>
              </w:rPr>
              <w:t>EURES</w:t>
            </w:r>
            <w:r>
              <w:rPr>
                <w:rFonts w:ascii="Arial" w:hAnsi="Arial"/>
                <w:color w:val="000000"/>
                <w:sz w:val="20"/>
                <w:szCs w:val="20"/>
              </w:rPr>
              <w:t xml:space="preserve"> portālā</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 xml:space="preserve">Ja jums vajadzīgs padoms par pieņemšanu darbā citā valstī, varat meklēt sīkāku informāciju par savu tuvāko </w:t>
            </w:r>
            <w:r>
              <w:rPr>
                <w:rFonts w:ascii="Arial" w:hAnsi="Arial"/>
                <w:i/>
                <w:iCs/>
                <w:color w:val="000000"/>
                <w:sz w:val="22"/>
                <w:szCs w:val="22"/>
              </w:rPr>
              <w:t>EURES</w:t>
            </w:r>
            <w:r>
              <w:rPr>
                <w:rFonts w:ascii="Arial" w:hAnsi="Arial"/>
                <w:color w:val="000000"/>
                <w:sz w:val="22"/>
                <w:szCs w:val="22"/>
              </w:rPr>
              <w:t xml:space="preserve"> padomdevēju. Vispirms sazinieties ar savu vietējo </w:t>
            </w:r>
            <w:r>
              <w:rPr>
                <w:rFonts w:ascii="Arial" w:hAnsi="Arial"/>
                <w:i/>
                <w:iCs/>
                <w:color w:val="000000"/>
                <w:sz w:val="22"/>
                <w:szCs w:val="22"/>
              </w:rPr>
              <w:t>EURES</w:t>
            </w:r>
            <w:r>
              <w:rPr>
                <w:rFonts w:ascii="Arial" w:hAnsi="Arial"/>
                <w:color w:val="000000"/>
                <w:sz w:val="22"/>
                <w:szCs w:val="22"/>
              </w:rPr>
              <w:t xml:space="preserve"> padomdevēju — viņš(-a) ir jūsu saite uz plašāku tīklu, kas jums var sniegt sīkāku informāciju par iepriekš minētajiem jautājumiem.</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A13BD"/>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4761150"/>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l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lv&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70</ap:TotalTime>
  <ap:Pages>3</ap:Pages>
  <ap:Words>561</ap:Words>
  <ap:Characters>4499</ap:Characters>
  <ap:Application>Microsoft Office Word</ap:Application>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5050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2021-06-02T08:00:00.0000000Z</dcterms:modified>
</coreProperties>
</file>