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Jekk jogħġbok ikkunsidra dan li ġej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QABEL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tirrekluta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ħaddiema minn barra l-pajjiż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Jekk jogħġbok ikkunsidra dan li ġej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QABEL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tirrekluta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ħaddiema minn barra l-pajjiż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9"/>
        <w:gridCol w:w="1952"/>
        <w:gridCol w:w="6794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Aħseb fi...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Azzjonijiet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Konsulenza u ppjanar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Servizzi lokali tal-impjiegi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Qabel ma tfittex kandidati minn barra l-pajjiż, ipprova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kkuntattja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lis-</w:t>
            </w:r>
            <w:r>
              <w:rPr>
                <w:rFonts w:ascii="Arial" w:hAnsi="Arial"/>
                <w:i/>
                <w:sz w:val="22"/>
                <w:szCs w:val="22"/>
              </w:rPr>
              <w:t>servizz pubbliku tal-impjiegi lokali</w:t>
            </w:r>
            <w:r>
              <w:rPr>
                <w:rFonts w:ascii="Arial" w:hAnsi="Arial"/>
                <w:sz w:val="22"/>
                <w:szCs w:val="22"/>
              </w:rPr>
              <w:t xml:space="preserve"> tiegħek biex tiddiskuti l-ħtiġijiet ta’ reklutaġġ tiegħek. Jista’ jkun li jkunu jistgħu jsibu kandidati xierqa eqreb tiegħek.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Ipprepara profil ta’ kandidat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X’inhuma l-ħiliet, il-kompetenzi u l-kwalifiki speċifiċi meħtieġa biex jitwettaq ir-rwol tal-impjieg?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Jekk tiddeċiedi li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tirrekluta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minn barra l-pajjiż,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Ipproduċi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pjan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Iddeskrivi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l-objettivi, il-benefiċċji, ir-riskji u l-ispejjeż tar-reklutaġġ barra mill-pajjiż. Fassal l-iskadenzi tiegħek peress li jista’ jieħu aktar żmien biex jinstabu kandidati internazzjonali.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Ikkuntattja lill-awtoritajiet kompetenti</w:t>
            </w:r>
          </w:p>
          <w:p w:rsidRPr="00E951B7" w:rsidR="00C3223F" w:rsidP="008768AF" w:rsidRDefault="00C32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(il-bord tar-reġistru tal-barranin jew servizzi ekwivalenti f’pajjiżek)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Skopri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jekk għandekx bżonn tieħu passi addizzjonali biex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ċittadin barrani. Iridu jirreġistraw separatament jew iħallsu xi tariffi?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Rekwiżiti legali u ħaddiema stazzjonati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Proċeduri ta’ reġistrazzjoni u permessi tax-xogħol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Tixtieq timpjega ħaddiema minn pajjiżi oħra fiż-Żona Ekonomika Ewropea (ŻEE) u teħtieġ aktar informazzjoni dwar il-proċeduri ta’ reġistrazzjoni u l-permessi tax-xogħol? </w:t>
            </w:r>
            <w:r>
              <w:t>Jekk iva, ikkonsulta t-taqsima “</w:t>
            </w:r>
            <w:hyperlink w:history="1" r:id="rId7">
              <w:r>
                <w:rPr>
                  <w:rStyle w:val="Hyperlink"/>
                  <w:rFonts w:ascii="Arial" w:hAnsi="Arial"/>
                  <w:sz w:val="22"/>
                  <w:szCs w:val="22"/>
                </w:rPr>
                <w:t>L-Għajxien u x-Xogħol</w:t>
              </w:r>
            </w:hyperlink>
            <w:r>
              <w:t>” biex issir taf dwar il-proċeduri ta’ reġistrazzjoni u l-informazzjoni dwar il-permessi ta’ residenza għal kull pajjiż.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Regoli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tranżitorji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li jirregolaw il-moviment liberu tal-ħaddiema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Għal informazzjoni dwar ir-regoli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tranżitorji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li jirregolaw il-moviment liberu tal-ħaddiema minn, lejn u bejn l-Istati Membri l-ġodda se jkollok bżonn iżżur it-taqsima “</w:t>
            </w:r>
            <w:hyperlink w:history="1" r:id="rId8">
              <w:r>
                <w:rPr>
                  <w:rStyle w:val="Hyperlink"/>
                  <w:rFonts w:ascii="Arial" w:hAnsi="Arial"/>
                  <w:sz w:val="22"/>
                  <w:szCs w:val="22"/>
                </w:rPr>
                <w:t>Moviment liberu tal-ħaddiema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>(https://ec.europa.eu/social/main.jsp?catId=849&amp;langId=mt)</w:t>
            </w:r>
            <w:r>
              <w:rPr>
                <w:rFonts w:ascii="Arial" w:hAnsi="Arial"/>
                <w:sz w:val="22"/>
                <w:szCs w:val="22"/>
              </w:rPr>
              <w:t xml:space="preserve"> tal-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Europa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>Ħaddiema stazzjonati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Ħaddiem stazzjonat huwa xi ħadd li jqatta’ ħin limitat jaħdem barra mill-Istat Membru li normalment jaħdem fih. Jekk l-organizzazzjoni tiegħek ikollha bżonn tqiegħed ħaddiema fi Stat Membru ieħor, ikollok bżonn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tiffamiljarizza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ruħek mar-regoli u l-proċeduri involuti.</w:t>
            </w:r>
          </w:p>
          <w:p w:rsidRPr="00E951B7" w:rsidR="001E48BB" w:rsidP="008768AF" w:rsidRDefault="00051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L-informazzjoni tinsab fit-taqsima “</w:t>
            </w:r>
            <w:hyperlink w:history="1" r:id="rId9">
              <w:r>
                <w:rPr>
                  <w:rStyle w:val="Hyperlink"/>
                  <w:rFonts w:ascii="Arial" w:hAnsi="Arial"/>
                  <w:sz w:val="22"/>
                  <w:szCs w:val="22"/>
                </w:rPr>
                <w:t>Ħaddiema Stazzjonati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 xml:space="preserve">(https://ec.europa.eu/social/main.jsp?catId=471&amp;langId=mt) </w:t>
            </w:r>
            <w:r>
              <w:rPr>
                <w:rFonts w:ascii="Arial" w:hAnsi="Arial"/>
                <w:sz w:val="22"/>
                <w:szCs w:val="22"/>
              </w:rPr>
              <w:t>tal-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Europa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Ara wkoll il-paġna web nazzjonali tal-informazzjoni u l-kuntatti.</w:t>
            </w:r>
          </w:p>
          <w:p w:rsidRPr="003C6DAE" w:rsidR="00694FF6" w:rsidP="00584FF5" w:rsidRDefault="001E48BB">
            <w:r>
              <w:rPr>
                <w:rFonts w:ascii="Arial" w:hAnsi="Arial"/>
                <w:sz w:val="22"/>
                <w:szCs w:val="22"/>
              </w:rPr>
              <w:t>Tista’ wkoll tikkonsulta u tniżżel il-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"Gwida Prattika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għall-istazzjonar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tal-ħaddiema fl-Istati Membri tal-Unjoni Ewropea, u ż-Żona Ekonomika Ewropea u fl-Iżvizzera"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(http://ec.europa.eu/social/BlobServlet?docId=11366&amp;langId=mt) </w:t>
            </w:r>
            <w:r>
              <w:rPr>
                <w:rFonts w:ascii="Arial" w:hAnsi="Arial"/>
                <w:sz w:val="22"/>
                <w:szCs w:val="22"/>
              </w:rPr>
              <w:t>jew iżżur is-</w:t>
            </w:r>
            <w:hyperlink w:history="1" r:id="rId10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sit web tal-Eurofound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(https://www.eurofound.europa.eu/observatories/eurwork/industrial-relations-dictionary/posted-workers)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Arranġamenti prattiċi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 xml:space="preserve">Akkomodazzjoni / </w:t>
            </w:r>
            <w:proofErr w:type="spellStart"/>
            <w:r>
              <w:rPr>
                <w:rFonts w:ascii="Arial" w:hAnsi="Arial"/>
                <w:bCs w:val="0"/>
                <w:sz w:val="22"/>
                <w:szCs w:val="22"/>
              </w:rPr>
              <w:t>Alloġġ</w:t>
            </w:r>
            <w:proofErr w:type="spellEnd"/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Ikkunsidra l-passi prattiċi li impjegat ġdid minn barra se jkollu jieħu biex isib akkomodazzjoni jew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alloġġ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>. Hija disponibbli lokalment? Kif tinsab u kemm tiswa? Tista’ tipprovdi pariri jew appoġġ lill-impjegat il-ġdid?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Fatturi lingwistiċi, akkademiċi u kulturali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Ostakli lingwistiċi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Aħseb dwar il-livell ta’ kompetenza lingwistika meħtieġ mill-kandidati tiegħek. Jekk ma jkollhomx għarfien tajjeb iżda jkunu għadhom adattati għax-xogħol, għandek taħseb b’attenzjoni dwar kif se tikkomunika magħhom. Il-kandidat jista’ jsib l-intervisti bit-telefon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partikolarment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diffiċli.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Differenzi bejn il-pajjiżi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Il-liġijiet nazzjonali dwar l-impjiegi jvarjaw u tista’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ssibha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aktar diffiċli biex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f’xi pajjiżi minn oħrajn. Pereżempju, jista’ jkollok tirreġistra biex tagħmel dan jekk tirrappreżenta aġenzija ta’ reklutaġġ.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Skopri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jekk jeżistux ostakli amministrattivi qabel ma tibda r-reklutaġġ.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Differenzi kulturali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Il-prattiki ta’ reklutaġġ ivarjaw minn pajjiż għal ieħor, kif ukoll il-formalitajiet bejn l-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impjegaturi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 l-applikanti. Jekk l-imġiba tal-applikant ma tkunx normali, din tista’ tkun biss differenza kulturali. Tħallix dan jaffettwa l-ġudizzju tiegħek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ibqa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ffukat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fuq il-ħiliet u l-kapaċità tagħhom minflok.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Kwalifiki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Il-kandidati għal professjonijiet regolati se jkollhom jirreġistraw mal-awtorità xierqa biex jiżguraw li l-kwalifiki tagħhom jiġu rikonoxxuti. In-networks ENIC-NARIC (</w:t>
            </w:r>
            <w:hyperlink w:history="1" r:id="rId1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color w:val="0000FF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huma l-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għar-rikonoxximent tal-kwalifiki akkademiċi, professjonali u vokazzjonali fl-Ewropa.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624EB7" w:rsidRDefault="004A2234">
            <w:pPr>
              <w:keepNext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name="_GoBack" w:id="0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L-EURES se jgħinek!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624EB7" w:rsidRDefault="004A2234">
            <w:pPr>
              <w:keepNext/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Wara li tikkunsidra dan ta’ hawn fuq,</w:t>
            </w:r>
          </w:p>
        </w:tc>
      </w:tr>
      <w:bookmarkEnd w:id="0"/>
      <w:tr w:rsidR="00E04622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Sib il-konsulent lokali tiegħek tal-EURES</w:t>
            </w:r>
          </w:p>
          <w:p w:rsidRPr="00E951B7" w:rsidR="004A2234" w:rsidP="004A2234" w:rsidRDefault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jekk jogħġbok irreferi għal-link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“Ikkuntattja Konsulent tal-EURES”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fuq il-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portal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tal-EURES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Jekk teħtieġ parir dwar ir-reklutaġġ f’pajjiż ieħor, tista’ tfittex id-dettalji tal-eqreb konsulent tal-EURES tiegħek. Ikkuntattja lill-konsulent lokali tiegħek tal-EURES fl-ewwel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istanza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 huwa/hija l-link tiegħek għan-network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usa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’ għax jista’/tista’ jipprovdilek/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tipprovdilek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aktar dettalji dwar il-punti ta’ hawn fuq.</w:t>
            </w:r>
          </w:p>
        </w:tc>
      </w:tr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24EB7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t-M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ld=849&amp;langld=m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mt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observatories/eurwork/industrial-relations-dictionary/posted-work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ld=471&amp;langld=m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3</ap:Pages>
  <ap:Words>533</ap:Words>
  <ap:Characters>4583</ap:Characters>
  <ap:Application>Microsoft Office Word</ap:Application>
  <ap:DocSecurity>0</ap:DocSecurity>
  <ap:Lines>38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5106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5</revision>
  <lastPrinted>2007-07-12T11:38:00.0000000Z</lastPrinted>
  <dcterms:created xsi:type="dcterms:W3CDTF">2021-05-26T07:30:00.0000000Z</dcterms:created>
  <dcterms:modified xsi:type="dcterms:W3CDTF">2021-06-02T08:00:00.0000000Z</dcterms:modified>
</coreProperties>
</file>