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B99" w:rsidR="00F85B99" w:rsidP="00F85B99" w:rsidRDefault="001E138C">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3314700" cy="1371600"/>
                <wp:effectExtent l="0" t="0" r="19050" b="279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06703" w:rsidP="00206703" w:rsidRDefault="00206703">
                            <w:pPr>
                              <w:jc w:val="center"/>
                              <w:rPr>
                                <w:rFonts w:ascii="Arial" w:hAnsi="Arial" w:cs="Arial"/>
                                <w:b/>
                              </w:rPr>
                            </w:pPr>
                          </w:p>
                          <w:p w:rsidRPr="0042019A" w:rsidR="00206703" w:rsidP="003F7758" w:rsidRDefault="00206703">
                            <w:pPr>
                              <w:spacing w:line="480" w:lineRule="auto"/>
                              <w:jc w:val="center"/>
                              <w:rPr>
                                <w:rFonts w:ascii="Arial" w:hAnsi="Arial" w:cs="Arial"/>
                                <w:b/>
                              </w:rPr>
                            </w:pPr>
                            <w:r>
                              <w:rPr>
                                <w:rFonts w:ascii="Arial" w:hAnsi="Arial"/>
                                <w:b/>
                              </w:rPr>
                              <w:t>Kaalutlege järgmist</w:t>
                            </w:r>
                            <w:r>
                              <w:rPr>
                                <w:rFonts w:ascii="Arial" w:hAnsi="Arial"/>
                                <w:b/>
                              </w:rPr>
                              <w:br/>
                            </w:r>
                            <w:r>
                              <w:rPr>
                                <w:rFonts w:ascii="Arial" w:hAnsi="Arial"/>
                                <w:b/>
                                <w:sz w:val="28"/>
                                <w:szCs w:val="28"/>
                                <w:u w:val="single"/>
                              </w:rPr>
                              <w:t>PÄRAST</w:t>
                            </w:r>
                            <w:r>
                              <w:rPr>
                                <w:rFonts w:ascii="Arial" w:hAnsi="Arial"/>
                                <w:b/>
                              </w:rPr>
                              <w:t xml:space="preserve"> töötajate värbamist välismaalt</w:t>
                            </w:r>
                            <w:bookmarkStart w:name="_GoBack" w:id="0"/>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C8KAIAAFE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">
                <v:textbox style="mso-fit-shape-to-text:t">
                  <w:txbxContent>
                    <w:p w:rsidR="00206703" w:rsidP="00206703" w:rsidRDefault="00206703">
                      <w:pPr>
                        <w:jc w:val="center"/>
                        <w:rPr>
                          <w:rFonts w:ascii="Arial" w:hAnsi="Arial" w:cs="Arial"/>
                          <w:b/>
                        </w:rPr>
                      </w:pPr>
                    </w:p>
                    <w:p w:rsidRPr="0042019A" w:rsidR="00206703" w:rsidP="003F7758" w:rsidRDefault="00206703">
                      <w:pPr>
                        <w:spacing w:line="480" w:lineRule="auto"/>
                        <w:jc w:val="center"/>
                        <w:rPr>
                          <w:rFonts w:ascii="Arial" w:hAnsi="Arial" w:cs="Arial"/>
                          <w:b/>
                        </w:rPr>
                      </w:pPr>
                      <w:r>
                        <w:rPr>
                          <w:rFonts w:ascii="Arial" w:hAnsi="Arial"/>
                          <w:b/>
                        </w:rPr>
                        <w:t>Kaalutlege järgmist</w:t>
                      </w:r>
                      <w:r>
                        <w:rPr>
                          <w:rFonts w:ascii="Arial" w:hAnsi="Arial"/>
                          <w:b/>
                        </w:rPr>
                        <w:br/>
                      </w:r>
                      <w:r>
                        <w:rPr>
                          <w:rFonts w:ascii="Arial" w:hAnsi="Arial"/>
                          <w:b/>
                          <w:sz w:val="28"/>
                          <w:szCs w:val="28"/>
                          <w:u w:val="single"/>
                        </w:rPr>
                        <w:t>PÄRAST</w:t>
                      </w:r>
                      <w:r>
                        <w:rPr>
                          <w:rFonts w:ascii="Arial" w:hAnsi="Arial"/>
                          <w:b/>
                        </w:rPr>
                        <w:t xml:space="preserve"> töötajate värbamist välismaalt</w:t>
                      </w:r>
                      <w:bookmarkStart w:name="_GoBack" w:id="1"/>
                      <w:bookmarkEnd w:id="1"/>
                    </w:p>
                  </w:txbxContent>
                </v:textbox>
              </v:shape>
            </w:pict>
          </mc:Fallback>
        </mc:AlternateContent>
      </w:r>
      <w:r>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292D82" w:rsidP="001B769C" w:rsidRDefault="00292D82">
      <w:pPr>
        <w:jc w:val="center"/>
        <w:rPr>
          <w:rFonts w:ascii="Arial" w:hAnsi="Arial" w:cs="Arial"/>
          <w:b/>
          <w:sz w:val="28"/>
          <w:szCs w:val="28"/>
        </w:rPr>
      </w:pPr>
    </w:p>
    <w:p w:rsidR="007B693A" w:rsidP="00950D65" w:rsidRDefault="007B693A">
      <w:pPr>
        <w:jc w:val="both"/>
      </w:pPr>
    </w:p>
    <w:p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3"/>
        <w:gridCol w:w="2555"/>
        <w:gridCol w:w="5155"/>
        <w:gridCol w:w="7"/>
        <w:gridCol w:w="7"/>
      </w:tblGrid>
      <w:tr w:rsidR="00A07FE3" w:rsidTr="002E2C23">
        <w:trPr>
          <w:gridAfter w:val="1"/>
          <w:wAfter w:w="7" w:type="dxa"/>
          <w:tblHeader/>
        </w:trPr>
        <w:tc>
          <w:tcPr>
            <w:tcW w:w="1413" w:type="dxa"/>
            <w:shd w:val="clear" w:color="auto" w:fill="auto"/>
            <w:vAlign w:val="center"/>
          </w:tcPr>
          <w:p w:rsidRPr="00B560AA" w:rsidR="007B693A" w:rsidP="00CE7C62" w:rsidRDefault="007B693A">
            <w:pPr>
              <w:pStyle w:val="Heading1"/>
              <w:spacing w:before="120" w:after="120"/>
              <w:jc w:val="center"/>
              <w:rPr>
                <w:rFonts w:ascii="Arial" w:hAnsi="Arial" w:cs="Arial"/>
                <w:sz w:val="22"/>
                <w:szCs w:val="22"/>
              </w:rPr>
            </w:pPr>
            <w:r>
              <w:rPr>
                <w:rFonts w:ascii="Arial" w:hAnsi="Arial"/>
                <w:sz w:val="22"/>
                <w:szCs w:val="22"/>
              </w:rPr>
              <w:t>Mõelge järgmisele</w:t>
            </w:r>
          </w:p>
        </w:tc>
        <w:tc>
          <w:tcPr>
            <w:tcW w:w="7717" w:type="dxa"/>
            <w:gridSpan w:val="3"/>
            <w:shd w:val="clear" w:color="auto" w:fill="auto"/>
            <w:vAlign w:val="center"/>
          </w:tcPr>
          <w:p w:rsidRPr="00B560AA" w:rsidR="007B693A" w:rsidP="00CE7C62" w:rsidRDefault="007B693A">
            <w:pPr>
              <w:spacing w:before="120" w:after="120"/>
              <w:jc w:val="center"/>
              <w:rPr>
                <w:rFonts w:ascii="Arial" w:hAnsi="Arial" w:cs="Arial"/>
                <w:b/>
                <w:sz w:val="22"/>
                <w:szCs w:val="22"/>
              </w:rPr>
            </w:pPr>
            <w:r>
              <w:rPr>
                <w:rFonts w:ascii="Arial" w:hAnsi="Arial"/>
                <w:b/>
                <w:sz w:val="22"/>
                <w:szCs w:val="22"/>
              </w:rPr>
              <w:t>Meetmed</w:t>
            </w:r>
          </w:p>
        </w:tc>
      </w:tr>
      <w:tr w:rsidR="00A07FE3" w:rsidTr="002E2C23">
        <w:trPr>
          <w:gridAfter w:val="2"/>
          <w:wAfter w:w="14" w:type="dxa"/>
          <w:cantSplit/>
          <w:trHeight w:val="1701"/>
        </w:trPr>
        <w:tc>
          <w:tcPr>
            <w:tcW w:w="1413" w:type="dxa"/>
            <w:vMerge w:val="restart"/>
            <w:shd w:val="clear" w:color="auto" w:fill="auto"/>
            <w:textDirection w:val="btLr"/>
            <w:vAlign w:val="center"/>
          </w:tcPr>
          <w:p w:rsidRPr="00B560AA" w:rsidR="00FD479A" w:rsidP="00CE7C62" w:rsidRDefault="00FD479A">
            <w:pPr>
              <w:spacing w:before="120" w:after="120"/>
              <w:ind w:left="113" w:right="113"/>
              <w:jc w:val="center"/>
              <w:rPr>
                <w:rFonts w:ascii="Arial" w:hAnsi="Arial" w:cs="Arial"/>
                <w:b/>
                <w:sz w:val="22"/>
                <w:szCs w:val="22"/>
              </w:rPr>
            </w:pPr>
            <w:r>
              <w:rPr>
                <w:rFonts w:ascii="Arial" w:hAnsi="Arial"/>
                <w:b/>
                <w:sz w:val="22"/>
                <w:szCs w:val="22"/>
              </w:rPr>
              <w:t>Töötajate lõimimine</w:t>
            </w:r>
          </w:p>
        </w:tc>
        <w:tc>
          <w:tcPr>
            <w:tcW w:w="2555" w:type="dxa"/>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Tervituspakett</w:t>
            </w:r>
          </w:p>
        </w:tc>
        <w:tc>
          <w:tcPr>
            <w:tcW w:w="5155" w:type="dxa"/>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Tervituspakett on kasulik täiendus ametlikule tutvustamisele ettevõttes. Selles võib muu hulgas olla teave kohaliku piirkonna kohta, näiteks transpordivõimalused, töökohta jõudmise juhised, ümbruskonna plaan ja kirjeldus jne.</w:t>
            </w:r>
          </w:p>
        </w:tc>
      </w:tr>
      <w:tr w:rsidR="00A07FE3" w:rsidTr="002E2C23">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Õigus- ja haldusformaalsused</w:t>
            </w:r>
          </w:p>
        </w:tc>
        <w:tc>
          <w:tcPr>
            <w:tcW w:w="5155" w:type="dxa"/>
            <w:tcBorders>
              <w:bottom w:val="single" w:color="auto" w:sz="4" w:space="0"/>
            </w:tcBorders>
            <w:shd w:val="clear" w:color="auto" w:fill="auto"/>
            <w:vAlign w:val="center"/>
          </w:tcPr>
          <w:p w:rsidRPr="00B560AA" w:rsidR="00FD479A" w:rsidP="00CE7C62" w:rsidRDefault="00D06991">
            <w:pPr>
              <w:spacing w:before="120" w:after="120"/>
              <w:rPr>
                <w:rFonts w:ascii="Arial" w:hAnsi="Arial" w:cs="Arial"/>
                <w:sz w:val="22"/>
                <w:szCs w:val="22"/>
              </w:rPr>
            </w:pPr>
            <w:r>
              <w:rPr>
                <w:rFonts w:ascii="Arial" w:hAnsi="Arial"/>
                <w:sz w:val="22"/>
                <w:szCs w:val="22"/>
              </w:rPr>
              <w:t>Töötajad, kes peavad registreeruma ametiasutustes, võivad selleks vajada töölt vaba aega. Andke töötajatele aega, et nad saaksid taotleda sotsiaalkindlustust, registreerimisdokumenti või muid vajalikke dokumente.</w:t>
            </w:r>
          </w:p>
        </w:tc>
      </w:tr>
      <w:tr w:rsidR="00A07FE3" w:rsidTr="002E2C23">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Perekond ja sisseseadmine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sz w:val="22"/>
                <w:szCs w:val="22"/>
              </w:rPr>
              <w:t>Te ei saa vastutada uute töötajate igakülgse lõimumise eest, kuid mõelge nende olukorrale ja ajale, mida neil võib olla vaja, et otsida eluruume, külastada koole või toetada oma perekonda.</w:t>
            </w:r>
          </w:p>
        </w:tc>
      </w:tr>
      <w:tr w:rsidR="00A07FE3" w:rsidTr="002E2C23">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FD479A" w:rsidP="00CE7C62" w:rsidRDefault="00FD479A">
            <w:pPr>
              <w:pStyle w:val="Heading1"/>
              <w:spacing w:before="120" w:after="120"/>
              <w:rPr>
                <w:rFonts w:ascii="Arial" w:hAnsi="Arial" w:cs="Arial"/>
                <w:sz w:val="22"/>
                <w:szCs w:val="22"/>
              </w:rPr>
            </w:pPr>
            <w:r>
              <w:rPr>
                <w:rFonts w:ascii="Arial" w:hAnsi="Arial"/>
                <w:sz w:val="22"/>
                <w:szCs w:val="22"/>
              </w:rPr>
              <w:t xml:space="preserve">Olemasolevate töötajate ettevalmistamine </w:t>
            </w:r>
          </w:p>
        </w:tc>
        <w:tc>
          <w:tcPr>
            <w:tcW w:w="5155" w:type="dxa"/>
            <w:tcBorders>
              <w:bottom w:val="single" w:color="auto" w:sz="4" w:space="0"/>
            </w:tcBorders>
            <w:shd w:val="clear" w:color="auto" w:fill="auto"/>
            <w:vAlign w:val="center"/>
          </w:tcPr>
          <w:p w:rsidRPr="00B560AA" w:rsidR="00FD479A" w:rsidP="00CE7C62" w:rsidRDefault="00FD479A">
            <w:pPr>
              <w:spacing w:before="120" w:after="120"/>
              <w:rPr>
                <w:rFonts w:ascii="Arial" w:hAnsi="Arial" w:cs="Arial"/>
                <w:sz w:val="22"/>
                <w:szCs w:val="22"/>
              </w:rPr>
            </w:pPr>
            <w:r>
              <w:rPr>
                <w:rFonts w:ascii="Arial" w:hAnsi="Arial"/>
                <w:bCs/>
                <w:sz w:val="22"/>
                <w:szCs w:val="22"/>
              </w:rPr>
              <w:t>Kaasake olemasolevaid töötajaid värbamisprotsessi võimalikult palju. Selgitage, mida teete ja miks. Seltskondlik üritus aitab töötajatel üksteist tundma õppida. Ei ole vaja, et uutesse töötajatresse suhtutaks vaenulikult.</w:t>
            </w:r>
          </w:p>
        </w:tc>
      </w:tr>
      <w:tr w:rsidR="00A07FE3" w:rsidTr="002E2C23">
        <w:trPr>
          <w:gridAfter w:val="2"/>
          <w:wAfter w:w="14" w:type="dxa"/>
          <w:cantSplit/>
          <w:trHeight w:val="1701"/>
        </w:trPr>
        <w:tc>
          <w:tcPr>
            <w:tcW w:w="1413" w:type="dxa"/>
            <w:vMerge/>
            <w:shd w:val="clear" w:color="auto" w:fill="auto"/>
          </w:tcPr>
          <w:p w:rsidRPr="00B560AA" w:rsidR="00FD479A" w:rsidP="00CE7C62" w:rsidRDefault="00FD479A">
            <w:pPr>
              <w:spacing w:before="120" w:after="120"/>
              <w:jc w:val="center"/>
              <w:rPr>
                <w:rFonts w:ascii="Arial" w:hAnsi="Arial" w:cs="Arial"/>
                <w:b/>
                <w:sz w:val="22"/>
                <w:szCs w:val="22"/>
              </w:rPr>
            </w:pPr>
          </w:p>
        </w:tc>
        <w:tc>
          <w:tcPr>
            <w:tcW w:w="2555" w:type="dxa"/>
            <w:shd w:val="clear" w:color="auto" w:fill="auto"/>
            <w:vAlign w:val="center"/>
          </w:tcPr>
          <w:p w:rsidRPr="00B560AA" w:rsidR="00FD479A" w:rsidP="00CE7C62" w:rsidRDefault="00FD479A">
            <w:pPr>
              <w:spacing w:before="120" w:after="120"/>
              <w:rPr>
                <w:rFonts w:ascii="Arial" w:hAnsi="Arial" w:cs="Arial"/>
                <w:b/>
                <w:sz w:val="22"/>
                <w:szCs w:val="22"/>
              </w:rPr>
            </w:pPr>
            <w:r>
              <w:rPr>
                <w:rFonts w:ascii="Arial" w:hAnsi="Arial"/>
                <w:b/>
                <w:sz w:val="22"/>
                <w:szCs w:val="22"/>
              </w:rPr>
              <w:t>Juhendamine</w:t>
            </w:r>
          </w:p>
        </w:tc>
        <w:tc>
          <w:tcPr>
            <w:tcW w:w="5155" w:type="dxa"/>
            <w:shd w:val="clear" w:color="auto" w:fill="auto"/>
            <w:vAlign w:val="center"/>
          </w:tcPr>
          <w:p w:rsidRPr="00B560AA" w:rsidR="00FD479A" w:rsidP="00CE7C62" w:rsidRDefault="00FD479A">
            <w:pPr>
              <w:spacing w:before="120" w:after="120"/>
              <w:rPr>
                <w:rFonts w:ascii="Arial" w:hAnsi="Arial" w:cs="Arial"/>
                <w:bCs/>
                <w:sz w:val="22"/>
                <w:szCs w:val="22"/>
              </w:rPr>
            </w:pPr>
            <w:r>
              <w:rPr>
                <w:rFonts w:ascii="Arial" w:hAnsi="Arial"/>
                <w:sz w:val="22"/>
                <w:szCs w:val="22"/>
              </w:rPr>
              <w:t>Määrake töötajale juhendaja, kes selgitab talle uue töökoha töökultuuri, igapäevast tegevust ja sotsiaalaspekte. See aitab töötajal töökohas koduneda. Juhendaja võiks olla keegi, kes on ise olnud samalaadses olukorras.</w:t>
            </w:r>
          </w:p>
        </w:tc>
      </w:tr>
      <w:tr w:rsidR="00A07FE3" w:rsidTr="002E2C23">
        <w:tc>
          <w:tcPr>
            <w:tcW w:w="1413" w:type="dxa"/>
            <w:vMerge w:val="restart"/>
            <w:shd w:val="clear" w:color="auto" w:fill="auto"/>
            <w:textDirection w:val="btLr"/>
            <w:vAlign w:val="center"/>
          </w:tcPr>
          <w:p w:rsidRPr="00B560AA" w:rsidR="009E1667" w:rsidP="003F7758" w:rsidRDefault="009E1667">
            <w:pPr>
              <w:keepNext/>
              <w:spacing w:before="120" w:after="120"/>
              <w:ind w:left="113" w:right="113"/>
              <w:jc w:val="center"/>
              <w:rPr>
                <w:rFonts w:ascii="Arial" w:hAnsi="Arial" w:cs="Arial"/>
                <w:b/>
                <w:sz w:val="22"/>
                <w:szCs w:val="22"/>
              </w:rPr>
            </w:pPr>
            <w:r>
              <w:rPr>
                <w:rFonts w:ascii="Arial" w:hAnsi="Arial"/>
                <w:b/>
                <w:sz w:val="22"/>
                <w:szCs w:val="22"/>
              </w:rPr>
              <w:lastRenderedPageBreak/>
              <w:t>Tingimused töökohal</w:t>
            </w:r>
          </w:p>
        </w:tc>
        <w:tc>
          <w:tcPr>
            <w:tcW w:w="2555" w:type="dxa"/>
            <w:shd w:val="clear" w:color="auto" w:fill="auto"/>
            <w:vAlign w:val="center"/>
          </w:tcPr>
          <w:p w:rsidRPr="00B560AA" w:rsidR="009E1667" w:rsidP="003F7758" w:rsidRDefault="009E1667">
            <w:pPr>
              <w:keepNext/>
              <w:keepLines/>
              <w:spacing w:before="120" w:after="120"/>
              <w:rPr>
                <w:rFonts w:ascii="Arial" w:hAnsi="Arial" w:cs="Arial"/>
                <w:b/>
                <w:sz w:val="22"/>
                <w:szCs w:val="22"/>
              </w:rPr>
            </w:pPr>
            <w:r>
              <w:rPr>
                <w:rFonts w:ascii="Arial" w:hAnsi="Arial"/>
                <w:b/>
                <w:sz w:val="22"/>
                <w:szCs w:val="22"/>
              </w:rPr>
              <w:t>Töötingimused</w:t>
            </w:r>
          </w:p>
        </w:tc>
        <w:tc>
          <w:tcPr>
            <w:tcW w:w="5169" w:type="dxa"/>
            <w:gridSpan w:val="3"/>
            <w:shd w:val="clear" w:color="auto" w:fill="auto"/>
            <w:vAlign w:val="center"/>
          </w:tcPr>
          <w:p w:rsidRPr="00B560AA" w:rsidR="009E1667" w:rsidP="003F7758" w:rsidRDefault="009E1667">
            <w:pPr>
              <w:keepNext/>
              <w:keepLines/>
              <w:spacing w:before="120" w:after="120"/>
              <w:rPr>
                <w:rFonts w:ascii="Arial" w:hAnsi="Arial" w:cs="Arial"/>
                <w:sz w:val="22"/>
                <w:szCs w:val="22"/>
              </w:rPr>
            </w:pPr>
            <w:r>
              <w:rPr>
                <w:rFonts w:ascii="Arial" w:hAnsi="Arial"/>
                <w:sz w:val="22"/>
                <w:szCs w:val="22"/>
              </w:rPr>
              <w:t>Välismaalasest töötajatel on õigus samadele töötingimustele kooskõlas ELi ja riikliku õigusega. Tagage, et uute töötajate lepingutingimused on õiglased ja mittediskrimineerivad.</w:t>
            </w:r>
          </w:p>
        </w:tc>
      </w:tr>
      <w:tr w:rsidR="00A07FE3" w:rsidTr="002E2C23">
        <w:tc>
          <w:tcPr>
            <w:tcW w:w="1413"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555"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Tervishoid ja ohutus</w:t>
            </w:r>
          </w:p>
        </w:tc>
        <w:tc>
          <w:tcPr>
            <w:tcW w:w="5169" w:type="dxa"/>
            <w:gridSpan w:val="3"/>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Erilist tähelepanu tuleb pöörata sellele, et selgitada uutele välismaalt pärit töötajatele töökoha tervishoiu, ohutuse ja turvalisuse korraldust. Võib juhtuda, et peate selleks pakkuma lisatuge ja kontrollima, kas nad teavad, mida teha tulekahjuõppusel või muus hädaolukorras.</w:t>
            </w:r>
          </w:p>
        </w:tc>
      </w:tr>
      <w:tr w:rsidR="00A07FE3" w:rsidTr="002E2C23">
        <w:tc>
          <w:tcPr>
            <w:tcW w:w="1413" w:type="dxa"/>
            <w:vMerge/>
            <w:shd w:val="clear" w:color="auto" w:fill="auto"/>
            <w:textDirection w:val="btLr"/>
          </w:tcPr>
          <w:p w:rsidRPr="00B560AA" w:rsidR="009E1667" w:rsidP="00CE7C62" w:rsidRDefault="009E1667">
            <w:pPr>
              <w:spacing w:before="120" w:after="120"/>
              <w:ind w:left="113" w:right="113"/>
              <w:jc w:val="center"/>
              <w:rPr>
                <w:rFonts w:ascii="Arial" w:hAnsi="Arial" w:cs="Arial"/>
                <w:b/>
                <w:sz w:val="22"/>
                <w:szCs w:val="22"/>
              </w:rPr>
            </w:pPr>
          </w:p>
        </w:tc>
        <w:tc>
          <w:tcPr>
            <w:tcW w:w="2555" w:type="dxa"/>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Koolitus</w:t>
            </w:r>
          </w:p>
        </w:tc>
        <w:tc>
          <w:tcPr>
            <w:tcW w:w="5169" w:type="dxa"/>
            <w:gridSpan w:val="3"/>
            <w:shd w:val="clear" w:color="auto" w:fill="auto"/>
            <w:vAlign w:val="center"/>
          </w:tcPr>
          <w:p w:rsidRPr="00B560AA" w:rsidR="00A328F2" w:rsidP="00CE7C62" w:rsidRDefault="009E1667">
            <w:pPr>
              <w:spacing w:before="120" w:after="120"/>
              <w:rPr>
                <w:rFonts w:ascii="Arial" w:hAnsi="Arial" w:cs="Arial"/>
                <w:sz w:val="22"/>
                <w:szCs w:val="22"/>
              </w:rPr>
            </w:pPr>
            <w:r>
              <w:rPr>
                <w:rFonts w:ascii="Arial" w:hAnsi="Arial"/>
                <w:sz w:val="22"/>
                <w:szCs w:val="22"/>
              </w:rPr>
              <w:t>Kättesaadavad õppimis- ja arenguvõimalused on olulised kõigile töötajatele, kuid on võimalik, et peate koolitust välismaalt pärit töötajatele kohandama, kui nad ei ole tunne vajalikku oskuskeelt või kasutatavaid seadmeid.</w:t>
            </w:r>
          </w:p>
        </w:tc>
      </w:tr>
      <w:tr w:rsidR="00A07FE3" w:rsidTr="002E2C23">
        <w:trPr>
          <w:trHeight w:val="1022"/>
        </w:trPr>
        <w:tc>
          <w:tcPr>
            <w:tcW w:w="1413" w:type="dxa"/>
            <w:vMerge/>
            <w:shd w:val="clear" w:color="auto" w:fill="auto"/>
          </w:tcPr>
          <w:p w:rsidRPr="00B560AA" w:rsidR="009E1667" w:rsidP="00CE7C62" w:rsidRDefault="009E1667">
            <w:pPr>
              <w:spacing w:before="120" w:after="120"/>
              <w:jc w:val="center"/>
              <w:rPr>
                <w:rFonts w:ascii="Arial" w:hAnsi="Arial" w:cs="Arial"/>
                <w:b/>
                <w:sz w:val="22"/>
                <w:szCs w:val="22"/>
              </w:rPr>
            </w:pPr>
          </w:p>
        </w:tc>
        <w:tc>
          <w:tcPr>
            <w:tcW w:w="2555" w:type="dxa"/>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b/>
                <w:sz w:val="22"/>
                <w:szCs w:val="22"/>
              </w:rPr>
            </w:pPr>
            <w:r>
              <w:rPr>
                <w:rFonts w:ascii="Arial" w:hAnsi="Arial"/>
                <w:b/>
                <w:sz w:val="22"/>
                <w:szCs w:val="22"/>
              </w:rPr>
              <w:t>Töötajate hoidmine</w:t>
            </w:r>
          </w:p>
        </w:tc>
        <w:tc>
          <w:tcPr>
            <w:tcW w:w="5169" w:type="dxa"/>
            <w:gridSpan w:val="3"/>
            <w:tcBorders>
              <w:bottom w:val="single" w:color="auto" w:sz="4" w:space="0"/>
            </w:tcBorders>
            <w:shd w:val="clear" w:color="auto" w:fill="auto"/>
            <w:vAlign w:val="center"/>
          </w:tcPr>
          <w:p w:rsidRPr="00B560AA" w:rsidR="009E1667" w:rsidP="00CE7C62" w:rsidRDefault="009E1667">
            <w:pPr>
              <w:spacing w:before="120" w:after="120"/>
              <w:rPr>
                <w:rFonts w:ascii="Arial" w:hAnsi="Arial" w:cs="Arial"/>
                <w:sz w:val="22"/>
                <w:szCs w:val="22"/>
              </w:rPr>
            </w:pPr>
            <w:r>
              <w:rPr>
                <w:rFonts w:ascii="Arial" w:hAnsi="Arial"/>
                <w:sz w:val="22"/>
                <w:szCs w:val="22"/>
              </w:rPr>
              <w:t>Kui vajate uuelt töötajalt pikaajalist pühendumist, siis püüdke ette näha probleeme, mis võiksid mõjutada teda lahkuma. Kas tal on vaja jõuludeks koju sõita? Kas ta on oma elu- ja töötingimustega rahul?</w:t>
            </w:r>
          </w:p>
        </w:tc>
      </w:tr>
    </w:tbl>
    <w:p w:rsidRPr="0042019A"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00A07FE3" w:rsidTr="00CE7C62">
        <w:trPr>
          <w:trHeight w:val="1022"/>
        </w:trPr>
        <w:tc>
          <w:tcPr>
            <w:tcW w:w="3972" w:type="dxa"/>
            <w:shd w:val="clear" w:color="auto" w:fill="auto"/>
            <w:vAlign w:val="center"/>
          </w:tcPr>
          <w:p w:rsidRPr="00B560AA" w:rsidR="00AB52D3" w:rsidP="00CE7C62" w:rsidRDefault="00AB52D3">
            <w:pPr>
              <w:spacing w:before="120" w:after="120"/>
              <w:rPr>
                <w:rFonts w:ascii="Arial" w:hAnsi="Arial" w:cs="Arial"/>
                <w:b/>
              </w:rPr>
            </w:pPr>
            <w:r>
              <w:rPr>
                <w:rFonts w:ascii="Arial" w:hAnsi="Arial"/>
                <w:b/>
              </w:rPr>
              <w:t>Jagage oma kogemusi!</w:t>
            </w:r>
          </w:p>
        </w:tc>
        <w:tc>
          <w:tcPr>
            <w:tcW w:w="5151" w:type="dxa"/>
            <w:shd w:val="clear" w:color="auto" w:fill="auto"/>
            <w:vAlign w:val="center"/>
          </w:tcPr>
          <w:p w:rsidRPr="00B560AA" w:rsidR="00AB52D3" w:rsidP="00CE7C62" w:rsidRDefault="00AB52D3">
            <w:pPr>
              <w:spacing w:before="120" w:after="120"/>
              <w:rPr>
                <w:rFonts w:ascii="Arial" w:hAnsi="Arial" w:cs="Arial"/>
                <w:sz w:val="22"/>
                <w:szCs w:val="22"/>
              </w:rPr>
            </w:pPr>
            <w:r>
              <w:rPr>
                <w:rFonts w:ascii="Arial" w:hAnsi="Arial"/>
                <w:sz w:val="22"/>
                <w:szCs w:val="22"/>
              </w:rPr>
              <w:t xml:space="preserve">Kui teie kogemused välismaalt värbamisega võiksid huvitada ka teisi, siis </w:t>
            </w:r>
            <w:r>
              <w:rPr>
                <w:rFonts w:ascii="Arial" w:hAnsi="Arial"/>
                <w:sz w:val="22"/>
                <w:szCs w:val="22"/>
                <w:u w:val="single"/>
              </w:rPr>
              <w:t>jagage neid meiega</w:t>
            </w:r>
            <w:r>
              <w:rPr>
                <w:rFonts w:ascii="Arial" w:hAnsi="Arial"/>
                <w:sz w:val="22"/>
                <w:szCs w:val="22"/>
              </w:rPr>
              <w:t>! Teie ettevõtte lugu meie veebilehel võib julgustada muid tööandjaid, kes on seni kõhelnud ega ole mujalt Euroopast kedagi värvanud. Mis läks hästi? Mis oli raske? Kuidas on teie töötajad kohanenud töökohaga?</w:t>
            </w:r>
          </w:p>
          <w:p w:rsidRPr="00B560AA" w:rsidR="00AB52D3" w:rsidP="00CE7C62" w:rsidRDefault="00AB52D3">
            <w:pPr>
              <w:pStyle w:val="Pa2"/>
              <w:spacing w:before="120" w:after="120"/>
              <w:rPr>
                <w:rFonts w:ascii="Arial" w:hAnsi="Arial" w:cs="Arial"/>
                <w:sz w:val="22"/>
                <w:szCs w:val="22"/>
              </w:rPr>
            </w:pPr>
            <w:r>
              <w:rPr>
                <w:rFonts w:ascii="Arial" w:hAnsi="Arial"/>
                <w:sz w:val="22"/>
                <w:szCs w:val="22"/>
              </w:rPr>
              <w:t xml:space="preserve">Oma loo võite saata järgmisel aadressil: </w:t>
            </w:r>
          </w:p>
        </w:tc>
      </w:tr>
    </w:tbl>
    <w:p w:rsidRPr="001B769C" w:rsidR="00C3223F" w:rsidRDefault="00C3223F"/>
    <w:sectPr w:rsidRPr="001B769C"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Default="00DD3280">
      <w:r>
        <w:separator/>
      </w:r>
    </w:p>
  </w:endnote>
  <w:endnote w:type="continuationSeparator" w:id="0">
    <w:p w:rsidR="00DD3280" w:rsidRDefault="00D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03" w:rsidP="004073D9" w:rsidRDefault="00206703">
    <w:pPr>
      <w:pStyle w:val="Footer"/>
      <w:framePr w:wrap="around" w:hAnchor="margin" w:vAnchor="text"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AA2" w:rsidR="00206703" w:rsidP="004073D9" w:rsidRDefault="00206703">
    <w:pPr>
      <w:pStyle w:val="Footer"/>
      <w:framePr w:wrap="around" w:hAnchor="margin" w:vAnchor="text"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CE7C62">
      <w:rPr>
        <w:rStyle w:val="PageNumber"/>
        <w:rFonts w:ascii="Arial" w:hAnsi="Arial" w:cs="Arial"/>
        <w:sz w:val="18"/>
        <w:szCs w:val="18"/>
      </w:rPr>
      <w:t>2</w:t>
    </w:r>
    <w:r w:rsidRPr="006C3AA2">
      <w:rPr>
        <w:rStyle w:val="PageNumber"/>
        <w:rFonts w:ascii="Arial" w:hAnsi="Arial" w:cs="Arial"/>
        <w:sz w:val="18"/>
        <w:szCs w:val="18"/>
      </w:rPr>
      <w:fldChar w:fldCharType="end"/>
    </w:r>
  </w:p>
  <w:p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Default="00DD3280">
      <w:r>
        <w:separator/>
      </w:r>
    </w:p>
  </w:footnote>
  <w:footnote w:type="continuationSeparator" w:id="0">
    <w:p w:rsidR="00DD3280" w:rsidRDefault="00DD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2C23"/>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3BBC"/>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07FE3"/>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325</ap:Words>
  <ap:Characters>2269</ap:Characters>
  <ap:Application>Microsoft Office Word</ap:Application>
  <ap:DocSecurity>0</ap:DocSecurity>
  <ap:Lines>18</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2589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4</revision>
  <lastPrinted>2008-05-21T15:27:00.0000000Z</lastPrinted>
  <dcterms:created xsi:type="dcterms:W3CDTF">2021-05-26T07:39:00.0000000Z</dcterms:created>
  <dcterms:modified xsi:type="dcterms:W3CDTF">2021-06-02T07:37:00.0000000Z</dcterms:modified>
</coreProperties>
</file>